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0.0" w:type="pct"/>
        <w:tblBorders>
          <w:top w:color="231f20" w:space="0" w:sz="2" w:val="single"/>
          <w:left w:color="231f20" w:space="0" w:sz="2" w:val="single"/>
          <w:bottom w:color="231f20" w:space="0" w:sz="2" w:val="single"/>
          <w:right w:color="231f20" w:space="0" w:sz="2" w:val="single"/>
          <w:insideH w:color="231f20" w:space="0" w:sz="2" w:val="single"/>
          <w:insideV w:color="231f20" w:space="0" w:sz="2" w:val="single"/>
        </w:tblBorders>
        <w:tblLayout w:type="fixed"/>
        <w:tblLook w:val="0000"/>
      </w:tblPr>
      <w:tblGrid>
        <w:gridCol w:w="2567"/>
        <w:gridCol w:w="5245"/>
        <w:gridCol w:w="2190"/>
        <w:tblGridChange w:id="0">
          <w:tblGrid>
            <w:gridCol w:w="2567"/>
            <w:gridCol w:w="5245"/>
            <w:gridCol w:w="2190"/>
          </w:tblGrid>
        </w:tblGridChange>
      </w:tblGrid>
      <w:tr>
        <w:trPr>
          <w:trHeight w:val="401" w:hRule="atLeast"/>
        </w:trPr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97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FICHA DE LECTURA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b06dda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6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FICHA N°: ÁMBITO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POLÍTICO-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SOCIAL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4" w:hRule="atLeast"/>
        </w:trPr>
        <w:tc>
          <w:tcPr>
            <w:tcBorders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Equipo de alumnos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6">
            <w:pPr>
              <w:ind w:left="142" w:right="3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Fernanda Cabezón, Dayaneth Campos, Javiera Letelier, Luis Martínez, Cristian Villagrán.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 entrega: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 Diciembre 2020</w:t>
            </w:r>
          </w:p>
        </w:tc>
      </w:tr>
      <w:tr>
        <w:trPr>
          <w:trHeight w:val="824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Referencia bibliográfica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A">
            <w:pPr>
              <w:ind w:right="3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right="3"/>
              <w:rPr>
                <w:sz w:val="36"/>
                <w:szCs w:val="36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MINVU(2004).Chile, un siglo de políticas en vivienda y barrio. Santiago de Chile. Pehuén Editores.(2)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right="3" w:firstLine="0"/>
              <w:rPr>
                <w:rFonts w:ascii="Arial" w:cs="Arial" w:eastAsia="Arial" w:hAnsi="Arial"/>
                <w:i w:val="1"/>
                <w:color w:val="999999"/>
                <w:highlight w:val="whit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MINVU(2004).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939598"/>
                <w:rtl w:val="0"/>
              </w:rPr>
              <w:t xml:space="preserve">La vivienda social en el período de institucionalidad del desarrollo 1939-1964.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999999"/>
                <w:highlight w:val="white"/>
                <w:rtl w:val="0"/>
              </w:rPr>
              <w:t xml:space="preserve">pp.77-94</w:t>
            </w:r>
          </w:p>
          <w:p w:rsidR="00000000" w:rsidDel="00000000" w:rsidP="00000000" w:rsidRDefault="00000000" w:rsidRPr="00000000" w14:paraId="0000000E">
            <w:pPr>
              <w:ind w:left="0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Hidalgo, R. Vivienda social y espacio urbano en Santiago de Chile. Una mirada retrospectiva a la acción del Estado en las primeras décadas del Siglo XX. Revista eure (Vol. XXVIII, Nº 83), pp. 83-106, Santiago de Chile, mayo 2002.</w:t>
            </w:r>
          </w:p>
          <w:p w:rsidR="00000000" w:rsidDel="00000000" w:rsidP="00000000" w:rsidRDefault="00000000" w:rsidRPr="00000000" w14:paraId="00000010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4">
            <w:pPr>
              <w:ind w:left="142" w:right="888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Reconceptualización y transformación del término hacinamiento desde inicios del siglo XIX a la actualidad.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3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Citas representativas 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VIVIENDA SOCIAL Y ESPACIO URBANO:</w:t>
            </w:r>
          </w:p>
          <w:p w:rsidR="00000000" w:rsidDel="00000000" w:rsidP="00000000" w:rsidRDefault="00000000" w:rsidRPr="00000000" w14:paraId="00000018">
            <w:pPr>
              <w:spacing w:after="240" w:before="240" w:lineRule="auto"/>
              <w:jc w:val="both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“El hacinamiento, la segregación social, la falta de servicios públicos y la degradación de las condiciones higiénicas constituyeron parte de las características de la transición urbana vivida en el cambio de siglo anterior; como transformaciones que marcaron el paso "desde la ciudad liberal de la primera revolución industrial a la ciudad neotécnica y posliberal" (Capel y Tatjer, 1991).(pág. 84)”</w:t>
            </w:r>
          </w:p>
          <w:p w:rsidR="00000000" w:rsidDel="00000000" w:rsidP="00000000" w:rsidRDefault="00000000" w:rsidRPr="00000000" w14:paraId="00000019">
            <w:pPr>
              <w:spacing w:after="240" w:before="240" w:lineRule="auto"/>
              <w:jc w:val="both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“El conventillo era la vivienda más representativa de los pobres a finales del siglo XIX.” (pág 85)</w:t>
            </w:r>
          </w:p>
          <w:p w:rsidR="00000000" w:rsidDel="00000000" w:rsidP="00000000" w:rsidRDefault="00000000" w:rsidRPr="00000000" w14:paraId="0000001A">
            <w:pPr>
              <w:ind w:left="0" w:firstLine="0"/>
              <w:jc w:val="both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“En este sentido, las duras condiciones de vida que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afrontaban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las masas asalariadas y los inmigrantes llegados a las nacientes ciudades industriales del continente americano, hicieron que los Estados de esos países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comenzaran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a promulgar legislaciones que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controlaran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el mercado de los alquileres y la edificación de viviendas destinadas a los colectivos de obreros.” (pág.84)</w:t>
            </w:r>
          </w:p>
          <w:p w:rsidR="00000000" w:rsidDel="00000000" w:rsidP="00000000" w:rsidRDefault="00000000" w:rsidRPr="00000000" w14:paraId="0000001B">
            <w:pPr>
              <w:ind w:left="0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ind w:left="0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“En lo que respecta directamente a la construcción de viviendas obreras, cabe destacar que entre 1883 y 1906 se presentaron al menos siete proyectos para promover una ley de casas baratas en el Congreso (Arellano, 1985). En 1883 se expone por primera vez a la Cámara de Diputados un proyecto de ley tendiente a reglamentar la construcción de barrios pobres, "pero debido a la poca importancia que se le atribuía a la habitación, el proyecto no fue aprobado" (Montaner, 1925), (pág 87)”</w:t>
            </w:r>
          </w:p>
          <w:p w:rsidR="00000000" w:rsidDel="00000000" w:rsidP="00000000" w:rsidRDefault="00000000" w:rsidRPr="00000000" w14:paraId="0000001D">
            <w:pPr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0" w:firstLine="0"/>
              <w:rPr>
                <w:i w:val="1"/>
                <w:color w:val="93959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“El 29 de abril de 1939 se promulgó la Ley 6.334, que tuvo un doble objetivo. El primero fue crear un organismo “capaz de auxiliar en forma inmediata a las provincias devastadas, proveyendo luego su reconstrucción”. El segundo objetivo fue dotar al país de una institución que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impulsara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y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fomentara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su desarrollo económico.”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highlight w:val="white"/>
                <w:rtl w:val="0"/>
              </w:rPr>
              <w:t xml:space="preserve">hito histórico: terremoto 1939. (MINVU,2004, pág. 83)</w:t>
            </w:r>
          </w:p>
          <w:p w:rsidR="00000000" w:rsidDel="00000000" w:rsidP="00000000" w:rsidRDefault="00000000" w:rsidRPr="00000000" w14:paraId="0000001F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0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“Plan Habitacional” sería definido como “un conjunto de normas jurídicas y económicas orientadas a aunar los esfuerzos del país para dar solución definitiva de la deficiencia de viviendas”.” (MINVU 2004,pág.89)</w:t>
            </w:r>
          </w:p>
          <w:p w:rsidR="00000000" w:rsidDel="00000000" w:rsidP="00000000" w:rsidRDefault="00000000" w:rsidRPr="00000000" w14:paraId="00000021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2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Imágenes de respaldo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</w:rPr>
              <w:drawing>
                <wp:inline distB="114300" distT="114300" distL="114300" distR="114300">
                  <wp:extent cx="2447925" cy="1514475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514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i w:val="1"/>
                <w:color w:val="939598"/>
                <w:sz w:val="14"/>
                <w:szCs w:val="14"/>
              </w:rPr>
            </w:pPr>
            <w:r w:rsidDel="00000000" w:rsidR="00000000" w:rsidRPr="00000000">
              <w:rPr>
                <w:i w:val="1"/>
                <w:color w:val="939598"/>
                <w:sz w:val="14"/>
                <w:szCs w:val="14"/>
                <w:rtl w:val="0"/>
              </w:rPr>
              <w:t xml:space="preserve">Fuente: Recuperado de www.nuevatribuna.es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</w:rPr>
              <w:drawing>
                <wp:inline distB="114300" distT="114300" distL="114300" distR="114300">
                  <wp:extent cx="2247900" cy="287655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28765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i w:val="1"/>
                <w:color w:val="939598"/>
                <w:sz w:val="14"/>
                <w:szCs w:val="14"/>
              </w:rPr>
            </w:pPr>
            <w:r w:rsidDel="00000000" w:rsidR="00000000" w:rsidRPr="00000000">
              <w:rPr>
                <w:i w:val="1"/>
                <w:color w:val="939598"/>
                <w:sz w:val="14"/>
                <w:szCs w:val="14"/>
                <w:rtl w:val="0"/>
              </w:rPr>
              <w:t xml:space="preserve">Fuente: Ferrada M. Recuperado de ESTADO Y VIVIENDA COLECTIVA EN CHILE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CURSO VIVIENDA COLECTIVA: PATRIMONIO A REHABILITAR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FACULTAD DE ARQUITECTURA Y URBANISMO. UNIVERSIDAD DE CHILE. SEGUNDO SEMESTRE 2020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C012B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4C0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4C012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65C8D"/>
  </w:style>
  <w:style w:type="paragraph" w:styleId="Piedepgina">
    <w:name w:val="footer"/>
    <w:basedOn w:val="Normal"/>
    <w:link w:val="Piedepgina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65C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EJLNQ3H/wQqr3JoHORbroiM9yA==">AMUW2mXIXOO7It5VZB1YV2tGvoCWQEeAERYOMxPzE7MNIMPqB4qPi4NR4bk5kq9jT4wC0K4ccOC6/dINWJmLpdfJoreo2UnBL4SQ2i5rHwcynwx3+elDFVU=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2020-11-18T00:26:00Z</dcterms:created>
  <dc:creator>Mario Ferrada</dc:creator>
</cp:coreProperties>
</file>